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spacing w:after="120" w:before="240" w:line="276" w:lineRule="auto"/>
        <w:rPr>
          <w:rFonts w:ascii="Times New Roman" w:cs="Times New Roman" w:eastAsia="Times New Roman" w:hAnsi="Times New Roman"/>
          <w:b w:val="1"/>
          <w:color w:val="1f497d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1f497d"/>
          <w:sz w:val="28"/>
          <w:szCs w:val="28"/>
          <w:rtl w:val="0"/>
        </w:rPr>
        <w:t xml:space="preserve">►Istruzione Professionale (IP) </w:t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Times New Roman" w:cs="Times New Roman" w:eastAsia="Times New Roman" w:hAnsi="Times New Roman"/>
          <w:b w:val="1"/>
          <w:i w:val="1"/>
          <w:color w:val="1f497d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1f497d"/>
          <w:sz w:val="28"/>
          <w:szCs w:val="28"/>
          <w:rtl w:val="0"/>
        </w:rPr>
        <w:t xml:space="preserve">Assistenza e Manutenzione Tecnica (DURATA: 4 anni)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>
          <w:rFonts w:ascii="Times New Roman" w:cs="Times New Roman" w:eastAsia="Times New Roman" w:hAnsi="Times New Roman"/>
          <w:b w:val="1"/>
          <w:color w:val="1f497d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1f497d"/>
          <w:sz w:val="28"/>
          <w:szCs w:val="28"/>
          <w:rtl w:val="0"/>
        </w:rPr>
        <w:t xml:space="preserve">Codice ATECO: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120" w:line="276" w:lineRule="auto"/>
        <w:ind w:left="720" w:hanging="360"/>
        <w:jc w:val="both"/>
        <w:rPr>
          <w:rFonts w:ascii="Times New Roman" w:cs="Times New Roman" w:eastAsia="Times New Roman" w:hAnsi="Times New Roman"/>
          <w:b w:val="1"/>
          <w:color w:val="1f497d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1f497d"/>
          <w:sz w:val="28"/>
          <w:szCs w:val="28"/>
          <w:rtl w:val="0"/>
        </w:rPr>
        <w:t xml:space="preserve">C -33 </w:t>
        <w:tab/>
        <w:t xml:space="preserve">Riparazione manutenzione ed installazione macchine ed </w:t>
        <w:tab/>
        <w:tab/>
        <w:tab/>
        <w:t xml:space="preserve">apparecchiature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120" w:line="276" w:lineRule="auto"/>
        <w:ind w:left="720" w:hanging="360"/>
        <w:jc w:val="both"/>
        <w:rPr>
          <w:rFonts w:ascii="Times New Roman" w:cs="Times New Roman" w:eastAsia="Times New Roman" w:hAnsi="Times New Roman"/>
          <w:b w:val="1"/>
          <w:color w:val="1f497d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1f497d"/>
          <w:sz w:val="28"/>
          <w:szCs w:val="28"/>
          <w:rtl w:val="0"/>
        </w:rPr>
        <w:t xml:space="preserve">F - 43.2 Installazione di impianti elettrici, idraulici ed altri lavori di </w:t>
        <w:tab/>
        <w:tab/>
        <w:t xml:space="preserve">costruzione ed installazione</w:t>
        <w:tab/>
      </w:r>
    </w:p>
    <w:p w:rsidR="00000000" w:rsidDel="00000000" w:rsidP="00000000" w:rsidRDefault="00000000" w:rsidRPr="00000000" w14:paraId="00000006">
      <w:pPr>
        <w:shd w:fill="ffffff" w:val="clear"/>
        <w:spacing w:after="120" w:before="120" w:line="276" w:lineRule="auto"/>
        <w:jc w:val="both"/>
        <w:rPr>
          <w:rFonts w:ascii="Times New Roman" w:cs="Times New Roman" w:eastAsia="Times New Roman" w:hAnsi="Times New Roman"/>
          <w:i w:val="1"/>
          <w:color w:val="222222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222222"/>
          <w:sz w:val="24"/>
          <w:szCs w:val="24"/>
          <w:rtl w:val="0"/>
        </w:rPr>
        <w:t xml:space="preserve">Il Tecnico per la Manutenzione e assistenza tecnica possiede competenze che gli consentono di organizzare, gestire e effettuare interventi di installazione e manutenzione ordinaria, diagnostica, riparazione e collaudo di impianti industriali e civili, apparati tecnici e mezzi di trasporto. In particolare è in grado di selezionare i materiali e le tecnologie necessarie ai processi di produzione e applicare le tecniche di lavorazione del settore meccanico, innovare e valorizzare le produzioni meccaniche del territorio, sotto il profilo creativo e tecnico e infine riconoscere gli aspetti di efficacia, efficienza ed economicità e applicare i sistemi di controllo qualità specifici delle industrie meccaniche.</w:t>
      </w:r>
    </w:p>
    <w:p w:rsidR="00000000" w:rsidDel="00000000" w:rsidP="00000000" w:rsidRDefault="00000000" w:rsidRPr="00000000" w14:paraId="00000007">
      <w:pPr>
        <w:shd w:fill="ffffff" w:val="clear"/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  <w:color w:val="222222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22222"/>
          <w:sz w:val="24"/>
          <w:szCs w:val="24"/>
          <w:rtl w:val="0"/>
        </w:rPr>
        <w:t xml:space="preserve">Nuovi percorsi 4+2 DDL Riforma tecnici e professionali L.121/2024</w:t>
      </w:r>
    </w:p>
    <w:p w:rsidR="00000000" w:rsidDel="00000000" w:rsidP="00000000" w:rsidRDefault="00000000" w:rsidRPr="00000000" w14:paraId="00000008">
      <w:pPr>
        <w:shd w:fill="ffffff" w:val="clear"/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  <w:color w:val="222222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22222"/>
          <w:sz w:val="24"/>
          <w:szCs w:val="24"/>
          <w:u w:val="single"/>
          <w:rtl w:val="0"/>
        </w:rPr>
        <w:t xml:space="preserve">Verbale n. 2 Delibera n. 27 CdI dell’ 11 settembre 2024</w:t>
      </w:r>
    </w:p>
    <w:p w:rsidR="00000000" w:rsidDel="00000000" w:rsidP="00000000" w:rsidRDefault="00000000" w:rsidRPr="00000000" w14:paraId="00000009">
      <w:pPr>
        <w:spacing w:after="360" w:before="240" w:line="240" w:lineRule="auto"/>
        <w:rPr>
          <w:rFonts w:ascii="Times New Roman" w:cs="Times New Roman" w:eastAsia="Times New Roman" w:hAnsi="Times New Roman"/>
          <w:color w:val="0000ff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ff"/>
          <w:sz w:val="24"/>
          <w:szCs w:val="24"/>
          <w:rtl w:val="0"/>
        </w:rPr>
        <w:t xml:space="preserve">TITOLO DI STUDIO RILASCIATO: Diploma Statale di Tecnico per la Manutenzione e Assistenza Tecnica(equivalente al Diploma quinquennale)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317dbf" w:val="clear"/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Lucida Sans" w:cs="Lucida Sans" w:eastAsia="Lucida Sans" w:hAnsi="Lucida Sans"/>
          <w:b w:val="1"/>
          <w:rtl w:val="0"/>
        </w:rPr>
        <w:t xml:space="preserve">Attitudini richieste per il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360" w:before="24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 affrontare al meglio il corso di studi di Manutenzione e Assistenza Tecnica quadriennale occorre possedere innanzitutto una buona dose di capacità creativa e di innovazione, una forte passione per l’informatica, l’elettronica, l’elettrotecnica e per i processi matematici, fisici e meccanici ad esse connessi; è necessario disporre di buone capacità manuali e abilità pratiche, oltre che capacità di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problem solving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Il tutto connesso a un’attenzione continua per la sicurezza e un buon senso di autodisciplina, di organizzazione e di responsabilità, in quanto il percorso quadriennale condensa in quattro anni i medesimi contenuti del percorso quinquennale. Nel corso del quadriennio, le materie tecniche avranno un focus particolare sull’energia e sui processi di formazione di energie rinnovabili e sostenibili, in quanto suddetto percorso professionale fornisce le basi teoriche e pratiche per una eventuale iscrizione ad un corso di Istruzione Tecnica Superiore presso la Fondazione ITS Green di Vimercate, per diventare un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shd w:fill="f2f2f2" w:val="clear"/>
          <w:rtl w:val="0"/>
        </w:rPr>
        <w:t xml:space="preserve">Tecnico superiore per l’efficienza energetica degli impianti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C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317dbf" w:val="clear"/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Lucida Sans" w:cs="Lucida Sans" w:eastAsia="Lucida Sans" w:hAnsi="Lucida Sans"/>
          <w:b w:val="1"/>
          <w:sz w:val="24"/>
          <w:szCs w:val="24"/>
          <w:rtl w:val="0"/>
        </w:rPr>
        <w:t xml:space="preserve">Obiettivi del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24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conclusione del percorso il diplomato/a sarà in grado: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verificare il funzionamento ed eventualmente effettuare riparazioni tenendo conto delle norme di sicurezza e di tutela dell'ambiente;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gestire lo smaltimento delle scorie e delle sostanze residue prodotte a seguito del funzionamento dei macchinari;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gestire il magazzino;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conoscere il funzionamento delle diverse apparecchiature e saper dare indicazioni agli utenti;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riconoscere anomalie anche non direttamente collegate alle proprie mansioni e darne comunicazione;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valutare i costi degli interventi;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capire e interpretare gli schemi degli impianti;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rispettare le norme di ergonomia, igiene e sicurezza che regolano le realizzazione degli interventi;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usare strumenti di misura e apparecchiature per il controllo e la diagnosi;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effettuare regolazioni dei sistemi;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intervenire nell’installazione e nel collaudo degli impianti e della macchine garantendone e certificandone la messa a punto;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accogliere le necessità dei clienti offrendo servizi efficaci.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Sensibilizzare gli studenti sull'importanza della sostenibilità ambientale, incoraggiando l'adozione di pratiche ecologiche e sostenibili nella manutenzione e nell'assistenza tecnica degli impianti.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Educare gli studenti sull'uso delle tecnologie digitali per la manutenzione e l'assistenza tecnica, inclusi strumenti di diagnostica avanzati, software di gestione della manutenzione e tecnologie di monitoraggio remoto.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Consolidare una base di conoscenze tecniche e scientifiche relative ai principi di funzionamento dei sistemi energetici, incluse le fonti di energia rinnovabile e non rinnovabile.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Sensibilizzare gli studenti sull'importanza della sostenibilità ambientale e dell'efficienza energetica, promuovendo pratiche che riducano l'impatto ambientale e favoriscano l'uso di energie rinnovabili.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317dbf" w:val="clear"/>
        <w:spacing w:line="240" w:lineRule="auto"/>
        <w:jc w:val="center"/>
        <w:rPr>
          <w:rFonts w:ascii="Lucida Sans" w:cs="Lucida Sans" w:eastAsia="Lucida Sans" w:hAnsi="Lucida Sans"/>
          <w:sz w:val="24"/>
          <w:szCs w:val="24"/>
        </w:rPr>
      </w:pPr>
      <w:r w:rsidDel="00000000" w:rsidR="00000000" w:rsidRPr="00000000">
        <w:rPr>
          <w:rFonts w:ascii="Lucida Sans" w:cs="Lucida Sans" w:eastAsia="Lucida Sans" w:hAnsi="Lucida Sans"/>
          <w:b w:val="1"/>
          <w:sz w:val="24"/>
          <w:szCs w:val="24"/>
          <w:rtl w:val="0"/>
        </w:rPr>
        <w:t xml:space="preserve">Quadro Orario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shd w:fill="ffffff" w:val="clear"/>
        <w:spacing w:after="120" w:before="240" w:line="276" w:lineRule="auto"/>
        <w:rPr>
          <w:rFonts w:ascii="Tahoma" w:cs="Tahoma" w:eastAsia="Tahoma" w:hAnsi="Tahoma"/>
          <w:b w:val="1"/>
          <w:color w:val="113989"/>
          <w:sz w:val="26"/>
          <w:szCs w:val="26"/>
        </w:rPr>
      </w:pPr>
      <w:r w:rsidDel="00000000" w:rsidR="00000000" w:rsidRPr="00000000">
        <w:rPr>
          <w:rFonts w:ascii="Tahoma" w:cs="Tahoma" w:eastAsia="Tahoma" w:hAnsi="Tahoma"/>
          <w:b w:val="1"/>
          <w:color w:val="113989"/>
          <w:sz w:val="26"/>
          <w:szCs w:val="26"/>
          <w:rtl w:val="0"/>
        </w:rPr>
        <w:t xml:space="preserve">Nuovo quadro orario </w:t>
      </w:r>
    </w:p>
    <w:p w:rsidR="00000000" w:rsidDel="00000000" w:rsidP="00000000" w:rsidRDefault="00000000" w:rsidRPr="00000000" w14:paraId="00000021">
      <w:pPr>
        <w:shd w:fill="ffffff" w:val="clear"/>
        <w:spacing w:after="120" w:before="120" w:line="276" w:lineRule="auto"/>
        <w:jc w:val="both"/>
        <w:rPr>
          <w:rFonts w:ascii="Times New Roman" w:cs="Times New Roman" w:eastAsia="Times New Roman" w:hAnsi="Times New Roman"/>
          <w:i w:val="1"/>
          <w:color w:val="222222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222222"/>
          <w:sz w:val="24"/>
          <w:szCs w:val="24"/>
          <w:rtl w:val="0"/>
        </w:rPr>
        <w:t xml:space="preserve">Il presente quadro orario è quello definito dalla riforma degli istituti Professionali del 2017 e deliberato dal Collegio dei docenti. L'orario è entrato in vigore progressivamente a partire dalle future classi prime dell'a.s. 2018/19</w:t>
      </w:r>
    </w:p>
    <w:tbl>
      <w:tblPr>
        <w:tblStyle w:val="Table1"/>
        <w:tblW w:w="9161.000000000002" w:type="dxa"/>
        <w:jc w:val="left"/>
        <w:tblInd w:w="-9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293"/>
        <w:gridCol w:w="717"/>
        <w:gridCol w:w="717"/>
        <w:gridCol w:w="717"/>
        <w:gridCol w:w="717"/>
        <w:tblGridChange w:id="0">
          <w:tblGrid>
            <w:gridCol w:w="6293"/>
            <w:gridCol w:w="717"/>
            <w:gridCol w:w="717"/>
            <w:gridCol w:w="717"/>
            <w:gridCol w:w="717"/>
          </w:tblGrid>
        </w:tblGridChange>
      </w:tblGrid>
      <w:tr>
        <w:trPr>
          <w:cantSplit w:val="0"/>
          <w:tblHeader w:val="0"/>
        </w:trPr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Discipline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IV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Italiano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Storia e Geografia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1+1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Inglese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Matematica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Diritto ed Economia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Scienze motorie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Religione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Scienze Integrate - Chimica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Scienze Integrate - Fisica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Tecnologie dell’Informazione e Comunicazione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Tecnologie e tecniche di rappresentazione grafica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Laboratori tecnologici e Esercitazioni - Meccanica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Laboratori tecnologici e Esercitazioni - Elettrico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Tecnologie Meccaniche e Applicazioni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Tecnologie Elettriche Elettroniche dell’Automazione e Applicazioni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Tecnologie e Tecniche di Installazione e di Manutenzione di Apparati e Impianti Civili e Industriali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TOTALE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35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35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35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35</w:t>
            </w:r>
          </w:p>
        </w:tc>
      </w:tr>
    </w:tbl>
    <w:p w:rsidR="00000000" w:rsidDel="00000000" w:rsidP="00000000" w:rsidRDefault="00000000" w:rsidRPr="00000000" w14:paraId="0000007C">
      <w:pPr>
        <w:shd w:fill="ffffff" w:val="clear"/>
        <w:spacing w:after="120" w:before="120" w:line="276" w:lineRule="auto"/>
        <w:jc w:val="both"/>
        <w:rPr>
          <w:rFonts w:ascii="Times New Roman" w:cs="Times New Roman" w:eastAsia="Times New Roman" w:hAnsi="Times New Roman"/>
          <w:i w:val="1"/>
          <w:color w:val="222222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222222"/>
          <w:sz w:val="24"/>
          <w:szCs w:val="24"/>
          <w:rtl w:val="0"/>
        </w:rPr>
        <w:t xml:space="preserve">N.b.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22222"/>
          <w:sz w:val="20"/>
          <w:szCs w:val="20"/>
          <w:rtl w:val="0"/>
        </w:rPr>
        <w:t xml:space="preserve">sin dal primo anno di corso saranno effettuati in orario pomeridiano laboratori, project work e incontri sulla tematica Energia e Fonti di energia rinnovabile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hd w:fill="317dbf" w:val="clear"/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Lucida Sans" w:cs="Lucida Sans" w:eastAsia="Lucida Sans" w:hAnsi="Lucida Sans"/>
          <w:b w:val="1"/>
          <w:sz w:val="24"/>
          <w:szCs w:val="24"/>
          <w:rtl w:val="0"/>
        </w:rPr>
        <w:t xml:space="preserve">Prospettive Post – Diploma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120" w:before="12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 termine del percorso il/la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Diplomato/a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potrà: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accedere a tutti i percorsi universitari;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proseguire gli studi nei corsi IFTS;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proseguire gli studi nei corsi ITS di Fondazione ITS Green di Vimercate, in particolar modo per diventare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shd w:fill="f2f2f2" w:val="clear"/>
          <w:rtl w:val="0"/>
        </w:rPr>
        <w:t xml:space="preserve">Tecnico superiore per l’efficienza energetica degli impianti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partecipare a tutti i concorsi banditi dagli enti pubblici sia centrali che periferici per i quali è richiesto un diploma di stato.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12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Sbocchi professionali: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partecipazione ai concorsi pubblici relativi alla professione;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lavorare in industrie meccaniche e in aziende che si occupano di impiantistica;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trovare impiego nel campo della manutenzione, installazione e commercializzazione di dispositivi meccanici, elettrici, elettronici;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essere impiegato nella gestione del magazzino;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lavorare in modo autonomo;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inserirsi in aziende del settore produttivo e industriale.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Lucida Sans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⮚"/>
      <w:lvlJc w:val="left"/>
      <w:pPr>
        <w:ind w:left="4754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2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3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4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5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6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7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8">
      <w:start w:val="1"/>
      <w:numFmt w:val="bullet"/>
      <w:lvlText w:val=""/>
      <w:lvlJc w:val="left"/>
      <w:pPr>
        <w:ind w:left="0" w:firstLine="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oYWmEER2+9vfTX9lBnHkwd+pYQ==">CgMxLjA4AHIhMUZfMW9KZXFNRXJFdWN4cnFVZnRUTTN5QjE1b2lOT0Q4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